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8E7" w:rsidRDefault="00F648E7">
      <w:pPr>
        <w:jc w:val="center"/>
        <w:rPr>
          <w:b/>
          <w:color w:val="1B1B1B"/>
          <w:shd w:val="clear" w:color="auto" w:fill="FFFFFF"/>
        </w:rPr>
      </w:pPr>
    </w:p>
    <w:p w:rsidR="00F648E7" w:rsidRDefault="00F648E7">
      <w:pPr>
        <w:jc w:val="center"/>
        <w:rPr>
          <w:b/>
          <w:color w:val="1B1B1B"/>
          <w:shd w:val="clear" w:color="auto" w:fill="FFFFFF"/>
        </w:rPr>
      </w:pPr>
    </w:p>
    <w:p w:rsidR="00F648E7" w:rsidRDefault="00F648E7">
      <w:pPr>
        <w:jc w:val="center"/>
        <w:rPr>
          <w:b/>
          <w:color w:val="1B1B1B"/>
          <w:shd w:val="clear" w:color="auto" w:fill="FFFFFF"/>
        </w:rPr>
      </w:pPr>
    </w:p>
    <w:p w:rsidR="00410CEC" w:rsidRDefault="00F648E7" w:rsidP="00F648E7">
      <w:pPr>
        <w:jc w:val="center"/>
        <w:rPr>
          <w:b/>
          <w:color w:val="1B1B1B"/>
          <w:shd w:val="clear" w:color="auto" w:fill="FFFFFF"/>
        </w:rPr>
      </w:pPr>
      <w:r>
        <w:rPr>
          <w:b/>
          <w:color w:val="1B1B1B"/>
          <w:shd w:val="clear" w:color="auto" w:fill="FFFFFF"/>
        </w:rPr>
        <w:t>Negligent Hiring and Respondeat</w:t>
      </w:r>
      <w:r w:rsidR="008A4BFC">
        <w:rPr>
          <w:b/>
          <w:color w:val="1B1B1B"/>
          <w:shd w:val="clear" w:color="auto" w:fill="FFFFFF"/>
        </w:rPr>
        <w:t xml:space="preserve"> Superior</w:t>
      </w:r>
    </w:p>
    <w:p w:rsidR="00410CEC" w:rsidRDefault="00410CEC" w:rsidP="00F648E7">
      <w:pPr>
        <w:jc w:val="center"/>
        <w:rPr>
          <w:b/>
          <w:color w:val="1B1B1B"/>
          <w:shd w:val="clear" w:color="auto" w:fill="FFFFFF"/>
        </w:rPr>
      </w:pPr>
    </w:p>
    <w:p w:rsidR="00410CEC" w:rsidRDefault="00410CEC" w:rsidP="00F648E7">
      <w:pPr>
        <w:jc w:val="center"/>
        <w:rPr>
          <w:b/>
          <w:color w:val="1B1B1B"/>
          <w:shd w:val="clear" w:color="auto" w:fill="FFFFFF"/>
        </w:rPr>
      </w:pPr>
    </w:p>
    <w:p w:rsidR="00410CEC" w:rsidRDefault="00410CEC" w:rsidP="00F648E7">
      <w:pPr>
        <w:jc w:val="center"/>
        <w:rPr>
          <w:b/>
          <w:color w:val="1B1B1B"/>
          <w:shd w:val="clear" w:color="auto" w:fill="FFFFFF"/>
        </w:rPr>
      </w:pPr>
    </w:p>
    <w:p w:rsidR="00410CEC" w:rsidRDefault="00410CEC" w:rsidP="00F648E7">
      <w:pPr>
        <w:jc w:val="center"/>
        <w:rPr>
          <w:b/>
          <w:color w:val="1B1B1B"/>
          <w:shd w:val="clear" w:color="auto" w:fill="FFFFFF"/>
        </w:rPr>
      </w:pPr>
    </w:p>
    <w:p w:rsidR="00410CEC" w:rsidRPr="00F648E7" w:rsidRDefault="00410CEC" w:rsidP="00F648E7">
      <w:pPr>
        <w:jc w:val="center"/>
        <w:rPr>
          <w:color w:val="1B1B1B"/>
          <w:shd w:val="clear" w:color="auto" w:fill="FFFFFF"/>
        </w:rPr>
      </w:pPr>
    </w:p>
    <w:p w:rsidR="00410CEC" w:rsidRPr="00F648E7" w:rsidRDefault="008A4BFC" w:rsidP="00F648E7">
      <w:pPr>
        <w:jc w:val="center"/>
        <w:rPr>
          <w:color w:val="1B1B1B"/>
          <w:shd w:val="clear" w:color="auto" w:fill="FFFFFF"/>
        </w:rPr>
      </w:pPr>
      <w:r w:rsidRPr="00F648E7">
        <w:rPr>
          <w:color w:val="1B1B1B"/>
          <w:shd w:val="clear" w:color="auto" w:fill="FFFFFF"/>
        </w:rPr>
        <w:t>Name</w:t>
      </w:r>
    </w:p>
    <w:p w:rsidR="00410CEC" w:rsidRPr="00F648E7" w:rsidRDefault="008A4BFC" w:rsidP="00F648E7">
      <w:pPr>
        <w:jc w:val="center"/>
        <w:rPr>
          <w:color w:val="1B1B1B"/>
          <w:shd w:val="clear" w:color="auto" w:fill="FFFFFF"/>
        </w:rPr>
      </w:pPr>
      <w:r w:rsidRPr="00F648E7">
        <w:rPr>
          <w:color w:val="1B1B1B"/>
          <w:shd w:val="clear" w:color="auto" w:fill="FFFFFF"/>
        </w:rPr>
        <w:t>Institution</w:t>
      </w:r>
      <w:r w:rsidR="00F648E7" w:rsidRPr="00F648E7">
        <w:rPr>
          <w:color w:val="1B1B1B"/>
          <w:shd w:val="clear" w:color="auto" w:fill="FFFFFF"/>
        </w:rPr>
        <w:t xml:space="preserve"> of Affiliation</w:t>
      </w:r>
    </w:p>
    <w:p w:rsidR="00410CEC" w:rsidRPr="00F648E7" w:rsidRDefault="008A4BFC" w:rsidP="00F648E7">
      <w:pPr>
        <w:jc w:val="center"/>
        <w:rPr>
          <w:color w:val="1B1B1B"/>
          <w:shd w:val="clear" w:color="auto" w:fill="FFFFFF"/>
        </w:rPr>
      </w:pPr>
      <w:r w:rsidRPr="00F648E7">
        <w:rPr>
          <w:color w:val="1B1B1B"/>
          <w:shd w:val="clear" w:color="auto" w:fill="FFFFFF"/>
        </w:rPr>
        <w:t>Professor</w:t>
      </w:r>
    </w:p>
    <w:p w:rsidR="00410CEC" w:rsidRPr="00F648E7" w:rsidRDefault="008A4BFC" w:rsidP="00F648E7">
      <w:pPr>
        <w:jc w:val="center"/>
        <w:rPr>
          <w:color w:val="1B1B1B"/>
          <w:shd w:val="clear" w:color="auto" w:fill="FFFFFF"/>
        </w:rPr>
      </w:pPr>
      <w:r w:rsidRPr="00F648E7">
        <w:rPr>
          <w:color w:val="1B1B1B"/>
          <w:shd w:val="clear" w:color="auto" w:fill="FFFFFF"/>
        </w:rPr>
        <w:t>Date</w:t>
      </w:r>
    </w:p>
    <w:p w:rsidR="00410CEC" w:rsidRDefault="008A4BFC">
      <w:pPr>
        <w:rPr>
          <w:b/>
          <w:color w:val="1B1B1B"/>
          <w:shd w:val="clear" w:color="auto" w:fill="FFFFFF"/>
        </w:rPr>
      </w:pPr>
      <w:r>
        <w:rPr>
          <w:b/>
          <w:color w:val="1B1B1B"/>
          <w:shd w:val="clear" w:color="auto" w:fill="FFFFFF"/>
        </w:rPr>
        <w:br w:type="page"/>
      </w:r>
    </w:p>
    <w:p w:rsidR="00410CEC" w:rsidRPr="00F648E7" w:rsidRDefault="008A4BFC" w:rsidP="00F648E7">
      <w:pPr>
        <w:jc w:val="center"/>
        <w:rPr>
          <w:b/>
          <w:color w:val="1B1B1B"/>
          <w:shd w:val="clear" w:color="auto" w:fill="FFFFFF"/>
        </w:rPr>
      </w:pPr>
      <w:r w:rsidRPr="00F648E7">
        <w:rPr>
          <w:b/>
          <w:color w:val="1B1B1B"/>
          <w:shd w:val="clear" w:color="auto" w:fill="FFFFFF"/>
        </w:rPr>
        <w:lastRenderedPageBreak/>
        <w:t>Negligent Hiring and Respondeat Superior</w:t>
      </w:r>
    </w:p>
    <w:p w:rsidR="00410CEC" w:rsidRDefault="008A4BFC" w:rsidP="00F648E7">
      <w:pPr>
        <w:ind w:left="284" w:hanging="284"/>
        <w:jc w:val="center"/>
        <w:rPr>
          <w:b/>
          <w:color w:val="1B1B1B"/>
          <w:shd w:val="clear" w:color="auto" w:fill="FFFFFF"/>
        </w:rPr>
      </w:pPr>
      <w:r>
        <w:rPr>
          <w:b/>
          <w:color w:val="1B1B1B"/>
          <w:shd w:val="clear" w:color="auto" w:fill="FFFFFF"/>
        </w:rPr>
        <w:t>The Legal Elements of Negligent Hiring and Their Application on the Superior Case</w:t>
      </w:r>
    </w:p>
    <w:p w:rsidR="00410CEC" w:rsidRDefault="008A4BFC" w:rsidP="003825E0">
      <w:pPr>
        <w:ind w:firstLine="720"/>
        <w:rPr>
          <w:color w:val="1B1B1B"/>
          <w:shd w:val="clear" w:color="auto" w:fill="FFFFFF"/>
        </w:rPr>
      </w:pPr>
      <w:r>
        <w:rPr>
          <w:color w:val="1B1B1B"/>
          <w:shd w:val="clear" w:color="auto" w:fill="FFFFFF"/>
        </w:rPr>
        <w:t>Negligent hiring</w:t>
      </w:r>
      <w:r w:rsidR="002B4588">
        <w:rPr>
          <w:color w:val="1B1B1B"/>
          <w:shd w:val="clear" w:color="auto" w:fill="FFFFFF"/>
        </w:rPr>
        <w:t xml:space="preserve"> occurs when an employee suffers bodily harm and the hurt person raises a claim against the employer.</w:t>
      </w:r>
      <w:r w:rsidR="003825E0">
        <w:rPr>
          <w:color w:val="1B1B1B"/>
          <w:shd w:val="clear" w:color="auto" w:fill="FFFFFF"/>
        </w:rPr>
        <w:t xml:space="preserve"> </w:t>
      </w:r>
      <w:r>
        <w:rPr>
          <w:color w:val="1B1B1B"/>
          <w:shd w:val="clear" w:color="auto" w:fill="FFFFFF"/>
        </w:rPr>
        <w:t xml:space="preserve">As such the injury could result from the employee’s </w:t>
      </w:r>
      <w:r w:rsidR="002B4588">
        <w:rPr>
          <w:color w:val="1B1B1B"/>
          <w:shd w:val="clear" w:color="auto" w:fill="FFFFFF"/>
        </w:rPr>
        <w:t>or the employer being negligent</w:t>
      </w:r>
      <w:r w:rsidR="003825E0">
        <w:rPr>
          <w:color w:val="1B1B1B"/>
          <w:shd w:val="clear" w:color="auto" w:fill="FFFFFF"/>
        </w:rPr>
        <w:t xml:space="preserve"> </w:t>
      </w:r>
      <w:r>
        <w:rPr>
          <w:color w:val="1B1B1B"/>
          <w:shd w:val="clear" w:color="auto" w:fill="FFFFFF"/>
        </w:rPr>
        <w:t>(Cavico et al., 2016). This, therefore, puts the q</w:t>
      </w:r>
      <w:r w:rsidR="003825E0">
        <w:rPr>
          <w:color w:val="1B1B1B"/>
          <w:shd w:val="clear" w:color="auto" w:fill="FFFFFF"/>
        </w:rPr>
        <w:t xml:space="preserve">uestion of whether the </w:t>
      </w:r>
      <w:r>
        <w:rPr>
          <w:color w:val="1B1B1B"/>
          <w:shd w:val="clear" w:color="auto" w:fill="FFFFFF"/>
        </w:rPr>
        <w:t xml:space="preserve">employer </w:t>
      </w:r>
      <w:r w:rsidR="003825E0">
        <w:rPr>
          <w:color w:val="1B1B1B"/>
          <w:shd w:val="clear" w:color="auto" w:fill="FFFFFF"/>
        </w:rPr>
        <w:t xml:space="preserve">is required </w:t>
      </w:r>
      <w:r>
        <w:rPr>
          <w:color w:val="1B1B1B"/>
          <w:shd w:val="clear" w:color="auto" w:fill="FFFFFF"/>
        </w:rPr>
        <w:t xml:space="preserve">to investigate </w:t>
      </w:r>
      <w:r w:rsidR="003825E0">
        <w:rPr>
          <w:color w:val="1B1B1B"/>
          <w:shd w:val="clear" w:color="auto" w:fill="FFFFFF"/>
        </w:rPr>
        <w:t xml:space="preserve">an </w:t>
      </w:r>
      <w:r>
        <w:rPr>
          <w:color w:val="1B1B1B"/>
          <w:shd w:val="clear" w:color="auto" w:fill="FFFFFF"/>
        </w:rPr>
        <w:t xml:space="preserve">employee prior to </w:t>
      </w:r>
      <w:r w:rsidR="003825E0">
        <w:rPr>
          <w:color w:val="1B1B1B"/>
          <w:shd w:val="clear" w:color="auto" w:fill="FFFFFF"/>
        </w:rPr>
        <w:t>employing</w:t>
      </w:r>
      <w:r>
        <w:rPr>
          <w:color w:val="1B1B1B"/>
          <w:shd w:val="clear" w:color="auto" w:fill="FFFFFF"/>
        </w:rPr>
        <w:t xml:space="preserve"> him/her. It also raises the question of whether the employer failed to execute his/her duty of investigating an employee before hiring them. With regard to negligent hiring, its main elements are; the employer is entitled to hiring competent employees. Negligent hiring also occurs when an employer breaches his/her duty of hiring competent employees. Negligent hiring also happens when the employer’s breach results in the injury of an employee.  Finally, negligent hiring occurs when the employee’s injury is a type of harm that the law permits recovery for.</w:t>
      </w:r>
    </w:p>
    <w:p w:rsidR="00410CEC" w:rsidRDefault="008A4BFC" w:rsidP="00F648E7">
      <w:pPr>
        <w:ind w:firstLine="720"/>
        <w:rPr>
          <w:color w:val="1D1D1D"/>
          <w:shd w:val="clear" w:color="auto" w:fill="FFFFFF"/>
        </w:rPr>
      </w:pPr>
      <w:r>
        <w:rPr>
          <w:color w:val="1D1D1D"/>
          <w:shd w:val="clear" w:color="auto" w:fill="FFFFFF"/>
        </w:rPr>
        <w:t xml:space="preserve">Superior engaged in negligent hiring by hiring Jones as an apprentice electrician (Langvardt et al., 2019). Superior did not seek to ascertain whether Jones was a qualified electrician. Jones only indicated in his </w:t>
      </w:r>
      <w:r w:rsidR="003825E0">
        <w:rPr>
          <w:color w:val="1D1D1D"/>
          <w:shd w:val="clear" w:color="auto" w:fill="FFFFFF"/>
        </w:rPr>
        <w:t>job-seeking</w:t>
      </w:r>
      <w:r>
        <w:rPr>
          <w:color w:val="1D1D1D"/>
          <w:shd w:val="clear" w:color="auto" w:fill="FFFFFF"/>
        </w:rPr>
        <w:t xml:space="preserve"> letter that he was a qualified driver and had a valid driving license. Jones further indicated in his application letter that he had never been initially cited for a traffic violation. The details Jones indicated in his application letter were therefore unrelated to his job title as an apprentice electrician and yet Superior went ahead and hired him. Jones was therefore incompetent to be hired as an apprentice electrician </w:t>
      </w:r>
      <w:r w:rsidR="00A315FD">
        <w:rPr>
          <w:color w:val="1D1D1D"/>
          <w:shd w:val="clear" w:color="auto" w:fill="FFFFFF"/>
        </w:rPr>
        <w:t xml:space="preserve">with reference </w:t>
      </w:r>
      <w:r>
        <w:rPr>
          <w:color w:val="1D1D1D"/>
          <w:shd w:val="clear" w:color="auto" w:fill="FFFFFF"/>
        </w:rPr>
        <w:t xml:space="preserve">to </w:t>
      </w:r>
      <w:r w:rsidR="00A315FD">
        <w:rPr>
          <w:color w:val="1D1D1D"/>
          <w:shd w:val="clear" w:color="auto" w:fill="FFFFFF"/>
        </w:rPr>
        <w:t xml:space="preserve">the </w:t>
      </w:r>
      <w:r>
        <w:rPr>
          <w:color w:val="1D1D1D"/>
          <w:shd w:val="clear" w:color="auto" w:fill="FFFFFF"/>
        </w:rPr>
        <w:t>Malorney v. B&amp;L Motor Freight, Inc., (1986) case.</w:t>
      </w:r>
    </w:p>
    <w:p w:rsidR="00410CEC" w:rsidRDefault="008A4BFC" w:rsidP="00F648E7">
      <w:pPr>
        <w:ind w:firstLine="720"/>
        <w:rPr>
          <w:color w:val="1D1D1D"/>
          <w:shd w:val="clear" w:color="auto" w:fill="FFFFFF"/>
        </w:rPr>
      </w:pPr>
      <w:r>
        <w:rPr>
          <w:color w:val="1D1D1D"/>
          <w:shd w:val="clear" w:color="auto" w:fill="FFFFFF"/>
        </w:rPr>
        <w:t xml:space="preserve">Superior also breached its duty of hiring a competent employee. Superior failed to adequately investigate Jones before hiring him. Since Superior as an agency was the employer, in this case, it definitely understood the job requirements for the position of an apprentice </w:t>
      </w:r>
      <w:r>
        <w:rPr>
          <w:color w:val="1D1D1D"/>
          <w:shd w:val="clear" w:color="auto" w:fill="FFFFFF"/>
        </w:rPr>
        <w:lastRenderedPageBreak/>
        <w:t>electrician. Superior however</w:t>
      </w:r>
      <w:r w:rsidR="00A315FD">
        <w:rPr>
          <w:color w:val="1D1D1D"/>
          <w:shd w:val="clear" w:color="auto" w:fill="FFFFFF"/>
        </w:rPr>
        <w:t xml:space="preserve"> failed to</w:t>
      </w:r>
      <w:r>
        <w:rPr>
          <w:color w:val="1D1D1D"/>
          <w:shd w:val="clear" w:color="auto" w:fill="FFFFFF"/>
        </w:rPr>
        <w:t xml:space="preserve"> take </w:t>
      </w:r>
      <w:r w:rsidR="00A315FD">
        <w:rPr>
          <w:color w:val="1D1D1D"/>
          <w:shd w:val="clear" w:color="auto" w:fill="FFFFFF"/>
        </w:rPr>
        <w:t xml:space="preserve">the required </w:t>
      </w:r>
      <w:r>
        <w:rPr>
          <w:color w:val="1D1D1D"/>
          <w:shd w:val="clear" w:color="auto" w:fill="FFFFFF"/>
        </w:rPr>
        <w:t xml:space="preserve">reasonable </w:t>
      </w:r>
      <w:r w:rsidR="00A315FD">
        <w:rPr>
          <w:color w:val="1D1D1D"/>
          <w:shd w:val="clear" w:color="auto" w:fill="FFFFFF"/>
        </w:rPr>
        <w:t>procedures for</w:t>
      </w:r>
      <w:r>
        <w:rPr>
          <w:color w:val="1D1D1D"/>
          <w:shd w:val="clear" w:color="auto" w:fill="FFFFFF"/>
        </w:rPr>
        <w:t xml:space="preserve"> check</w:t>
      </w:r>
      <w:r w:rsidR="00A315FD">
        <w:rPr>
          <w:color w:val="1D1D1D"/>
          <w:shd w:val="clear" w:color="auto" w:fill="FFFFFF"/>
        </w:rPr>
        <w:t>ing</w:t>
      </w:r>
      <w:r>
        <w:rPr>
          <w:color w:val="1D1D1D"/>
          <w:shd w:val="clear" w:color="auto" w:fill="FFFFFF"/>
        </w:rPr>
        <w:t xml:space="preserve"> if Jones qualified or satisfied the job requirements the company needed. </w:t>
      </w:r>
    </w:p>
    <w:p w:rsidR="002F5A16" w:rsidRDefault="008A4BFC" w:rsidP="00BC7BF6">
      <w:pPr>
        <w:ind w:firstLine="720"/>
        <w:rPr>
          <w:color w:val="1D1D1D"/>
          <w:shd w:val="clear" w:color="auto" w:fill="FFFFFF"/>
        </w:rPr>
      </w:pPr>
      <w:r>
        <w:rPr>
          <w:color w:val="1D1D1D"/>
          <w:shd w:val="clear" w:color="auto" w:fill="FFFFFF"/>
        </w:rPr>
        <w:t xml:space="preserve">Superior further showed some negligence by promoting Jones to being an electrician which resulted in Jones being assigned a </w:t>
      </w:r>
      <w:r w:rsidR="00BC7BF6">
        <w:rPr>
          <w:color w:val="1D1D1D"/>
          <w:shd w:val="clear" w:color="auto" w:fill="FFFFFF"/>
        </w:rPr>
        <w:t xml:space="preserve">vehicle by the company. </w:t>
      </w:r>
      <w:r>
        <w:rPr>
          <w:color w:val="1D1D1D"/>
          <w:shd w:val="clear" w:color="auto" w:fill="FFFFFF"/>
        </w:rPr>
        <w:t xml:space="preserve">Superior gave Jones </w:t>
      </w:r>
      <w:r w:rsidR="00BC7BF6">
        <w:rPr>
          <w:color w:val="1D1D1D"/>
          <w:shd w:val="clear" w:color="auto" w:fill="FFFFFF"/>
        </w:rPr>
        <w:t xml:space="preserve">the </w:t>
      </w:r>
      <w:r>
        <w:rPr>
          <w:color w:val="1D1D1D"/>
          <w:shd w:val="clear" w:color="auto" w:fill="FFFFFF"/>
        </w:rPr>
        <w:t xml:space="preserve">opportunity to drive </w:t>
      </w:r>
      <w:r w:rsidR="00BC7BF6">
        <w:rPr>
          <w:color w:val="1D1D1D"/>
          <w:shd w:val="clear" w:color="auto" w:fill="FFFFFF"/>
        </w:rPr>
        <w:t>its</w:t>
      </w:r>
      <w:r>
        <w:rPr>
          <w:color w:val="1D1D1D"/>
          <w:shd w:val="clear" w:color="auto" w:fill="FFFFFF"/>
        </w:rPr>
        <w:t xml:space="preserve"> company’s vehicles based on the indications Jones gave in his application letter. As much as Jones was a qualified driver, Superior failed to investigate Jones’ claims that </w:t>
      </w:r>
      <w:r w:rsidR="00BC7BF6">
        <w:rPr>
          <w:color w:val="1D1D1D"/>
          <w:shd w:val="clear" w:color="auto" w:fill="FFFFFF"/>
        </w:rPr>
        <w:t xml:space="preserve">in his driving career he never engaged in violating any traffic rules. Instead, </w:t>
      </w:r>
      <w:r>
        <w:rPr>
          <w:color w:val="1D1D1D"/>
          <w:shd w:val="clear" w:color="auto" w:fill="FFFFFF"/>
        </w:rPr>
        <w:t xml:space="preserve">Superior believed Jones’ lies </w:t>
      </w:r>
      <w:r w:rsidR="00BC7BF6">
        <w:rPr>
          <w:color w:val="1D1D1D"/>
          <w:shd w:val="clear" w:color="auto" w:fill="FFFFFF"/>
        </w:rPr>
        <w:t>as</w:t>
      </w:r>
      <w:r>
        <w:rPr>
          <w:color w:val="1D1D1D"/>
          <w:shd w:val="clear" w:color="auto" w:fill="FFFFFF"/>
        </w:rPr>
        <w:t xml:space="preserve"> Jones was in</w:t>
      </w:r>
      <w:r w:rsidR="00BC7BF6">
        <w:rPr>
          <w:color w:val="1D1D1D"/>
          <w:shd w:val="clear" w:color="auto" w:fill="FFFFFF"/>
        </w:rPr>
        <w:t xml:space="preserve">competent in terms of driving. Jones’ driving license </w:t>
      </w:r>
      <w:r>
        <w:rPr>
          <w:color w:val="1D1D1D"/>
          <w:shd w:val="clear" w:color="auto" w:fill="FFFFFF"/>
        </w:rPr>
        <w:t xml:space="preserve">had </w:t>
      </w:r>
      <w:r w:rsidR="00BC7BF6">
        <w:rPr>
          <w:color w:val="1D1D1D"/>
          <w:shd w:val="clear" w:color="auto" w:fill="FFFFFF"/>
        </w:rPr>
        <w:t xml:space="preserve">been </w:t>
      </w:r>
      <w:r>
        <w:rPr>
          <w:color w:val="1D1D1D"/>
          <w:shd w:val="clear" w:color="auto" w:fill="FFFFFF"/>
        </w:rPr>
        <w:t xml:space="preserve">suspended </w:t>
      </w:r>
      <w:r w:rsidR="002F5A16">
        <w:rPr>
          <w:color w:val="1D1D1D"/>
          <w:shd w:val="clear" w:color="auto" w:fill="FFFFFF"/>
        </w:rPr>
        <w:t>on several occasions when he was found either without his driving license or when found driving carelessly.</w:t>
      </w:r>
    </w:p>
    <w:p w:rsidR="00410CEC" w:rsidRDefault="008A4BFC" w:rsidP="00BC7BF6">
      <w:pPr>
        <w:ind w:firstLine="720"/>
        <w:rPr>
          <w:color w:val="1D1D1D"/>
          <w:shd w:val="clear" w:color="auto" w:fill="FFFFFF"/>
        </w:rPr>
      </w:pPr>
      <w:r>
        <w:rPr>
          <w:color w:val="1D1D1D"/>
          <w:shd w:val="clear" w:color="auto" w:fill="FFFFFF"/>
        </w:rPr>
        <w:t>As much as</w:t>
      </w:r>
      <w:r w:rsidR="002F5A16">
        <w:rPr>
          <w:color w:val="1D1D1D"/>
          <w:shd w:val="clear" w:color="auto" w:fill="FFFFFF"/>
        </w:rPr>
        <w:t xml:space="preserve"> all injuries</w:t>
      </w:r>
      <w:r>
        <w:rPr>
          <w:color w:val="1D1D1D"/>
          <w:shd w:val="clear" w:color="auto" w:fill="FFFFFF"/>
        </w:rPr>
        <w:t xml:space="preserve"> </w:t>
      </w:r>
      <w:r w:rsidR="002F5A16">
        <w:rPr>
          <w:color w:val="1D1D1D"/>
          <w:shd w:val="clear" w:color="auto" w:fill="FFFFFF"/>
        </w:rPr>
        <w:t>that occurred to the Carsons were</w:t>
      </w:r>
      <w:r>
        <w:rPr>
          <w:color w:val="1D1D1D"/>
          <w:shd w:val="clear" w:color="auto" w:fill="FFFFFF"/>
        </w:rPr>
        <w:t xml:space="preserve"> exclusively due to Jones negligence, Superior could also be held liable. The Carsons could, therefore, recover financial losses and personal injury damages that occurred as a result of the accident should they provide sufficient evidence that significant damage occurred. </w:t>
      </w:r>
    </w:p>
    <w:p w:rsidR="00410CEC" w:rsidRDefault="008A4BFC" w:rsidP="00F648E7">
      <w:pPr>
        <w:ind w:firstLine="720"/>
        <w:rPr>
          <w:color w:val="1B1B1B"/>
          <w:shd w:val="clear" w:color="auto" w:fill="FFFFFF"/>
        </w:rPr>
      </w:pPr>
      <w:r>
        <w:rPr>
          <w:color w:val="1D1D1D"/>
          <w:shd w:val="clear" w:color="auto" w:fill="FFFFFF"/>
        </w:rPr>
        <w:t>The damages sought by the Carsons were therefore proximately caused by Superior’s negligence and thus they are warranted to seek recovery based on negligent hiring.</w:t>
      </w:r>
      <w:r>
        <w:rPr>
          <w:color w:val="1B1B1B"/>
          <w:shd w:val="clear" w:color="auto" w:fill="FFFFFF"/>
        </w:rPr>
        <w:t xml:space="preserve"> Negligent hiring did not however happen on the basis that Superior as an employer’s breach resulted in the injury of an employee. It is not clearly indicated whether Carson’s were employees of superior and this, therefore, disqualifies this element of negligent hiring.  Finally, negligent hiring did not occur on the basis that the employee’s injury is a type of harm that the law permits recovery because it is not clear whether the Carson’s were employees to Superior or not.</w:t>
      </w:r>
    </w:p>
    <w:p w:rsidR="00410CEC" w:rsidRDefault="008A4BFC" w:rsidP="00F648E7">
      <w:pPr>
        <w:ind w:left="284" w:hanging="284"/>
        <w:jc w:val="center"/>
        <w:rPr>
          <w:b/>
          <w:color w:val="1B1B1B"/>
          <w:shd w:val="clear" w:color="auto" w:fill="FFFFFF"/>
        </w:rPr>
      </w:pPr>
      <w:r>
        <w:rPr>
          <w:b/>
          <w:color w:val="1B1B1B"/>
          <w:shd w:val="clear" w:color="auto" w:fill="FFFFFF"/>
        </w:rPr>
        <w:t>The Legal Elements of Respondeat Superior and their Application on Superior’s Case</w:t>
      </w:r>
    </w:p>
    <w:p w:rsidR="00410CEC" w:rsidRDefault="008A4BFC" w:rsidP="00123F3D">
      <w:pPr>
        <w:ind w:firstLine="720"/>
        <w:rPr>
          <w:color w:val="1B1B1B"/>
          <w:shd w:val="clear" w:color="auto" w:fill="FFFFFF"/>
        </w:rPr>
      </w:pPr>
      <w:r>
        <w:rPr>
          <w:color w:val="1B1B1B"/>
          <w:shd w:val="clear" w:color="auto" w:fill="FFFFFF"/>
        </w:rPr>
        <w:lastRenderedPageBreak/>
        <w:t xml:space="preserve">Respondeat superior imposes both criminal and civil liabilities on employers and requires several elements including; a scenario where </w:t>
      </w:r>
      <w:r w:rsidR="00D13035">
        <w:rPr>
          <w:color w:val="1B1B1B"/>
          <w:shd w:val="clear" w:color="auto" w:fill="FFFFFF"/>
        </w:rPr>
        <w:t xml:space="preserve">an </w:t>
      </w:r>
      <w:r>
        <w:rPr>
          <w:color w:val="1B1B1B"/>
          <w:shd w:val="clear" w:color="auto" w:fill="FFFFFF"/>
        </w:rPr>
        <w:t>employee’s</w:t>
      </w:r>
      <w:r w:rsidR="00D13035">
        <w:rPr>
          <w:color w:val="1B1B1B"/>
          <w:shd w:val="clear" w:color="auto" w:fill="FFFFFF"/>
        </w:rPr>
        <w:t xml:space="preserve"> pursuits that are either</w:t>
      </w:r>
      <w:r>
        <w:rPr>
          <w:color w:val="1B1B1B"/>
          <w:shd w:val="clear" w:color="auto" w:fill="FFFFFF"/>
        </w:rPr>
        <w:t xml:space="preserve"> social or recreational and </w:t>
      </w:r>
      <w:r w:rsidR="00D13035">
        <w:rPr>
          <w:color w:val="1B1B1B"/>
          <w:shd w:val="clear" w:color="auto" w:fill="FFFFFF"/>
        </w:rPr>
        <w:t xml:space="preserve">are done within his/her work environment, </w:t>
      </w:r>
      <w:r>
        <w:rPr>
          <w:color w:val="1B1B1B"/>
          <w:shd w:val="clear" w:color="auto" w:fill="FFFFFF"/>
        </w:rPr>
        <w:t xml:space="preserve">after the </w:t>
      </w:r>
      <w:r w:rsidR="00D13035">
        <w:rPr>
          <w:color w:val="1B1B1B"/>
          <w:shd w:val="clear" w:color="auto" w:fill="FFFFFF"/>
        </w:rPr>
        <w:t>time</w:t>
      </w:r>
      <w:r>
        <w:rPr>
          <w:color w:val="1B1B1B"/>
          <w:shd w:val="clear" w:color="auto" w:fill="FFFFFF"/>
        </w:rPr>
        <w:t xml:space="preserve"> the employee is en</w:t>
      </w:r>
      <w:r w:rsidR="00D13035">
        <w:rPr>
          <w:color w:val="1B1B1B"/>
          <w:shd w:val="clear" w:color="auto" w:fill="FFFFFF"/>
        </w:rPr>
        <w:t xml:space="preserve">titled to either with direct or indirect permission from </w:t>
      </w:r>
      <w:r w:rsidR="008425C5">
        <w:rPr>
          <w:color w:val="1B1B1B"/>
          <w:shd w:val="clear" w:color="auto" w:fill="FFFFFF"/>
        </w:rPr>
        <w:t>an</w:t>
      </w:r>
      <w:r w:rsidR="00D13035">
        <w:rPr>
          <w:color w:val="1B1B1B"/>
          <w:shd w:val="clear" w:color="auto" w:fill="FFFFFF"/>
        </w:rPr>
        <w:t xml:space="preserve"> employer</w:t>
      </w:r>
      <w:r>
        <w:rPr>
          <w:color w:val="1B1B1B"/>
          <w:shd w:val="clear" w:color="auto" w:fill="FFFFFF"/>
        </w:rPr>
        <w:t xml:space="preserve"> (Lederman, 2016). If the recreational pursuits conceivably benefit </w:t>
      </w:r>
      <w:r w:rsidR="008425C5">
        <w:rPr>
          <w:color w:val="1B1B1B"/>
          <w:shd w:val="clear" w:color="auto" w:fill="FFFFFF"/>
        </w:rPr>
        <w:t>a</w:t>
      </w:r>
      <w:r w:rsidR="00A04C79">
        <w:rPr>
          <w:color w:val="1B1B1B"/>
          <w:shd w:val="clear" w:color="auto" w:fill="FFFFFF"/>
        </w:rPr>
        <w:t xml:space="preserve">n employer, then this </w:t>
      </w:r>
      <w:r>
        <w:rPr>
          <w:color w:val="1B1B1B"/>
          <w:shd w:val="clear" w:color="auto" w:fill="FFFFFF"/>
        </w:rPr>
        <w:t xml:space="preserve">employer can be held </w:t>
      </w:r>
      <w:r w:rsidR="00A04C79">
        <w:rPr>
          <w:color w:val="1B1B1B"/>
          <w:shd w:val="clear" w:color="auto" w:fill="FFFFFF"/>
        </w:rPr>
        <w:t>responsible</w:t>
      </w:r>
      <w:r>
        <w:rPr>
          <w:color w:val="1B1B1B"/>
          <w:shd w:val="clear" w:color="auto" w:fill="FFFFFF"/>
        </w:rPr>
        <w:t xml:space="preserve"> for the</w:t>
      </w:r>
      <w:r w:rsidR="00A04C79">
        <w:rPr>
          <w:color w:val="1B1B1B"/>
          <w:shd w:val="clear" w:color="auto" w:fill="FFFFFF"/>
        </w:rPr>
        <w:t xml:space="preserve"> actions of his/her employee. </w:t>
      </w:r>
      <w:r>
        <w:rPr>
          <w:color w:val="1B1B1B"/>
          <w:shd w:val="clear" w:color="auto" w:fill="FFFFFF"/>
        </w:rPr>
        <w:t>Further,</w:t>
      </w:r>
      <w:r w:rsidR="00A04C79">
        <w:rPr>
          <w:color w:val="1B1B1B"/>
          <w:shd w:val="clear" w:color="auto" w:fill="FFFFFF"/>
        </w:rPr>
        <w:t xml:space="preserve"> in case the action the employee engages in is one of the actions expected of his/her work duties and the activities </w:t>
      </w:r>
      <w:r>
        <w:rPr>
          <w:color w:val="1B1B1B"/>
          <w:shd w:val="clear" w:color="auto" w:fill="FFFFFF"/>
        </w:rPr>
        <w:t xml:space="preserve">can be </w:t>
      </w:r>
      <w:r w:rsidR="00A04C79">
        <w:rPr>
          <w:color w:val="1B1B1B"/>
          <w:shd w:val="clear" w:color="auto" w:fill="FFFFFF"/>
        </w:rPr>
        <w:t xml:space="preserve">seen as part of the work he/she is employed to do then his/her employer can be held accountable for these particular activities. The employer in </w:t>
      </w:r>
      <w:r w:rsidR="008C2342">
        <w:rPr>
          <w:color w:val="1B1B1B"/>
          <w:shd w:val="clear" w:color="auto" w:fill="FFFFFF"/>
        </w:rPr>
        <w:t>some</w:t>
      </w:r>
      <w:r w:rsidR="00A04C79">
        <w:rPr>
          <w:color w:val="1B1B1B"/>
          <w:shd w:val="clear" w:color="auto" w:fill="FFFFFF"/>
        </w:rPr>
        <w:t xml:space="preserve"> scenario</w:t>
      </w:r>
      <w:r w:rsidR="008C2342">
        <w:rPr>
          <w:color w:val="1B1B1B"/>
          <w:shd w:val="clear" w:color="auto" w:fill="FFFFFF"/>
        </w:rPr>
        <w:t>s shall also be required to be accountable for an employee even when the employer has been supervising an employee.</w:t>
      </w:r>
    </w:p>
    <w:p w:rsidR="00410CEC" w:rsidRDefault="008A4BFC" w:rsidP="00A376E8">
      <w:pPr>
        <w:ind w:firstLine="720"/>
        <w:rPr>
          <w:color w:val="1B1B1B"/>
          <w:shd w:val="clear" w:color="auto" w:fill="FFFFFF"/>
        </w:rPr>
      </w:pPr>
      <w:r>
        <w:rPr>
          <w:color w:val="1B1B1B"/>
          <w:shd w:val="clear" w:color="auto" w:fill="FFFFFF"/>
        </w:rPr>
        <w:t xml:space="preserve">However, some aspects may invoke some questions regarding the implementation of respondeat superior. These include the </w:t>
      </w:r>
      <w:r w:rsidR="00123F3D">
        <w:rPr>
          <w:color w:val="1B1B1B"/>
          <w:shd w:val="clear" w:color="auto" w:fill="FFFFFF"/>
        </w:rPr>
        <w:t>amount</w:t>
      </w:r>
      <w:r>
        <w:rPr>
          <w:color w:val="1B1B1B"/>
          <w:shd w:val="clear" w:color="auto" w:fill="FFFFFF"/>
        </w:rPr>
        <w:t xml:space="preserve"> of control </w:t>
      </w:r>
      <w:r w:rsidR="00123F3D">
        <w:rPr>
          <w:color w:val="1B1B1B"/>
          <w:shd w:val="clear" w:color="auto" w:fill="FFFFFF"/>
        </w:rPr>
        <w:t>an</w:t>
      </w:r>
      <w:r>
        <w:rPr>
          <w:color w:val="1B1B1B"/>
          <w:shd w:val="clear" w:color="auto" w:fill="FFFFFF"/>
        </w:rPr>
        <w:t xml:space="preserve"> employer </w:t>
      </w:r>
      <w:r w:rsidR="00123F3D">
        <w:rPr>
          <w:color w:val="1B1B1B"/>
          <w:shd w:val="clear" w:color="auto" w:fill="FFFFFF"/>
        </w:rPr>
        <w:t xml:space="preserve">with his/her </w:t>
      </w:r>
      <w:r>
        <w:rPr>
          <w:color w:val="1B1B1B"/>
          <w:shd w:val="clear" w:color="auto" w:fill="FFFFFF"/>
        </w:rPr>
        <w:t xml:space="preserve">employee have agreed </w:t>
      </w:r>
      <w:r w:rsidR="00123F3D">
        <w:rPr>
          <w:color w:val="1B1B1B"/>
          <w:shd w:val="clear" w:color="auto" w:fill="FFFFFF"/>
        </w:rPr>
        <w:t xml:space="preserve">that the employer might execute upon </w:t>
      </w:r>
      <w:r>
        <w:rPr>
          <w:color w:val="1B1B1B"/>
          <w:shd w:val="clear" w:color="auto" w:fill="FFFFFF"/>
        </w:rPr>
        <w:t xml:space="preserve">the </w:t>
      </w:r>
      <w:r w:rsidR="00123F3D">
        <w:rPr>
          <w:color w:val="1B1B1B"/>
          <w:shd w:val="clear" w:color="auto" w:fill="FFFFFF"/>
        </w:rPr>
        <w:t>employee’s responsibilities.</w:t>
      </w:r>
      <w:r>
        <w:rPr>
          <w:color w:val="1B1B1B"/>
          <w:shd w:val="clear" w:color="auto" w:fill="FFFFFF"/>
        </w:rPr>
        <w:t xml:space="preserve"> Respondeat superior is also dependent on </w:t>
      </w:r>
      <w:r w:rsidR="00123F3D">
        <w:rPr>
          <w:color w:val="1B1B1B"/>
          <w:shd w:val="clear" w:color="auto" w:fill="FFFFFF"/>
        </w:rPr>
        <w:t>if</w:t>
      </w:r>
      <w:r>
        <w:rPr>
          <w:color w:val="1B1B1B"/>
          <w:shd w:val="clear" w:color="auto" w:fill="FFFFFF"/>
        </w:rPr>
        <w:t xml:space="preserve"> </w:t>
      </w:r>
      <w:r w:rsidR="00123F3D">
        <w:rPr>
          <w:color w:val="1B1B1B"/>
          <w:shd w:val="clear" w:color="auto" w:fill="FFFFFF"/>
        </w:rPr>
        <w:t>an</w:t>
      </w:r>
      <w:r>
        <w:rPr>
          <w:color w:val="1B1B1B"/>
          <w:shd w:val="clear" w:color="auto" w:fill="FFFFFF"/>
        </w:rPr>
        <w:t xml:space="preserve"> employee</w:t>
      </w:r>
      <w:r w:rsidR="00123F3D">
        <w:rPr>
          <w:color w:val="1B1B1B"/>
          <w:shd w:val="clear" w:color="auto" w:fill="FFFFFF"/>
        </w:rPr>
        <w:t xml:space="preserve"> works in a field that does not need the employer’s supervision</w:t>
      </w:r>
      <w:r w:rsidR="00246228">
        <w:rPr>
          <w:color w:val="1B1B1B"/>
          <w:shd w:val="clear" w:color="auto" w:fill="FFFFFF"/>
        </w:rPr>
        <w:t xml:space="preserve"> or directions. </w:t>
      </w:r>
      <w:r>
        <w:rPr>
          <w:color w:val="1B1B1B"/>
          <w:shd w:val="clear" w:color="auto" w:fill="FFFFFF"/>
        </w:rPr>
        <w:t xml:space="preserve">The skills </w:t>
      </w:r>
      <w:r w:rsidR="00246228">
        <w:rPr>
          <w:color w:val="1B1B1B"/>
          <w:shd w:val="clear" w:color="auto" w:fill="FFFFFF"/>
        </w:rPr>
        <w:t>expected</w:t>
      </w:r>
      <w:r>
        <w:rPr>
          <w:color w:val="1B1B1B"/>
          <w:shd w:val="clear" w:color="auto" w:fill="FFFFFF"/>
        </w:rPr>
        <w:t xml:space="preserve"> of</w:t>
      </w:r>
      <w:r w:rsidR="00246228">
        <w:rPr>
          <w:color w:val="1B1B1B"/>
          <w:shd w:val="clear" w:color="auto" w:fill="FFFFFF"/>
        </w:rPr>
        <w:t xml:space="preserve"> an</w:t>
      </w:r>
      <w:r>
        <w:rPr>
          <w:color w:val="1B1B1B"/>
          <w:shd w:val="clear" w:color="auto" w:fill="FFFFFF"/>
        </w:rPr>
        <w:t xml:space="preserve"> employee in performing their job duties and whether the employer supplies all the requirements needed by the employee to undertake his/her job responsibilities and where also determine the way in which the respondeat superior is implemented. The length of time during which an employer engages an employee, whether the employer is paid based on the job he does or the amount of time he/she works, whether the employee’s work is part of the employer’s regular activities also affects the respondeat superior. Additionally, whether the employer and the employee intend to create a working relationship, whether the employer is in business or not and the </w:t>
      </w:r>
      <w:r w:rsidR="00F11D71">
        <w:rPr>
          <w:color w:val="1B1B1B"/>
          <w:shd w:val="clear" w:color="auto" w:fill="FFFFFF"/>
        </w:rPr>
        <w:t xml:space="preserve">amount of supervision an employer has had </w:t>
      </w:r>
      <w:r w:rsidR="00F11D71">
        <w:rPr>
          <w:color w:val="1B1B1B"/>
          <w:shd w:val="clear" w:color="auto" w:fill="FFFFFF"/>
        </w:rPr>
        <w:lastRenderedPageBreak/>
        <w:t xml:space="preserve">on the roles of his/her </w:t>
      </w:r>
      <w:r>
        <w:rPr>
          <w:color w:val="1B1B1B"/>
          <w:shd w:val="clear" w:color="auto" w:fill="FFFFFF"/>
        </w:rPr>
        <w:t xml:space="preserve">employees' </w:t>
      </w:r>
      <w:r w:rsidR="00F11D71">
        <w:rPr>
          <w:color w:val="1B1B1B"/>
          <w:shd w:val="clear" w:color="auto" w:fill="FFFFFF"/>
        </w:rPr>
        <w:t>information</w:t>
      </w:r>
      <w:r>
        <w:rPr>
          <w:color w:val="1B1B1B"/>
          <w:shd w:val="clear" w:color="auto" w:fill="FFFFFF"/>
        </w:rPr>
        <w:t xml:space="preserve"> also influences the implementation of</w:t>
      </w:r>
      <w:r w:rsidR="00F11D71">
        <w:rPr>
          <w:color w:val="1B1B1B"/>
          <w:shd w:val="clear" w:color="auto" w:fill="FFFFFF"/>
        </w:rPr>
        <w:t xml:space="preserve"> </w:t>
      </w:r>
      <w:r>
        <w:rPr>
          <w:color w:val="1B1B1B"/>
          <w:shd w:val="clear" w:color="auto" w:fill="FFFFFF"/>
        </w:rPr>
        <w:t xml:space="preserve"> respondeat superior.</w:t>
      </w:r>
    </w:p>
    <w:p w:rsidR="00410CEC" w:rsidRDefault="008A4BFC" w:rsidP="00F648E7">
      <w:pPr>
        <w:ind w:firstLine="720"/>
        <w:rPr>
          <w:color w:val="1B1B1B"/>
          <w:shd w:val="clear" w:color="auto" w:fill="FFFFFF"/>
        </w:rPr>
      </w:pPr>
      <w:r>
        <w:rPr>
          <w:color w:val="1B1B1B"/>
          <w:shd w:val="clear" w:color="auto" w:fill="FFFFFF"/>
        </w:rPr>
        <w:t xml:space="preserve">Superior </w:t>
      </w:r>
      <w:r w:rsidR="00A376E8">
        <w:rPr>
          <w:color w:val="1B1B1B"/>
          <w:shd w:val="clear" w:color="auto" w:fill="FFFFFF"/>
        </w:rPr>
        <w:t>entitled</w:t>
      </w:r>
      <w:r>
        <w:rPr>
          <w:color w:val="1B1B1B"/>
          <w:shd w:val="clear" w:color="auto" w:fill="FFFFFF"/>
        </w:rPr>
        <w:t xml:space="preserve"> Jones to use </w:t>
      </w:r>
      <w:r w:rsidR="00A376E8">
        <w:rPr>
          <w:color w:val="1B1B1B"/>
          <w:shd w:val="clear" w:color="auto" w:fill="FFFFFF"/>
        </w:rPr>
        <w:t xml:space="preserve">a </w:t>
      </w:r>
      <w:r>
        <w:rPr>
          <w:color w:val="1B1B1B"/>
          <w:shd w:val="clear" w:color="auto" w:fill="FFFFFF"/>
        </w:rPr>
        <w:t xml:space="preserve">vehicle </w:t>
      </w:r>
      <w:r w:rsidR="00A376E8">
        <w:rPr>
          <w:color w:val="1B1B1B"/>
          <w:shd w:val="clear" w:color="auto" w:fill="FFFFFF"/>
        </w:rPr>
        <w:t xml:space="preserve">belonging to the company </w:t>
      </w:r>
      <w:r>
        <w:rPr>
          <w:color w:val="1B1B1B"/>
          <w:shd w:val="clear" w:color="auto" w:fill="FFFFFF"/>
        </w:rPr>
        <w:t xml:space="preserve">by driving home on it after working hours as much as Jones’ riding home does not directly benefit his employer Superior. Based on </w:t>
      </w:r>
      <w:r w:rsidRPr="00074204">
        <w:rPr>
          <w:color w:val="1D1D1D"/>
          <w:shd w:val="clear" w:color="auto" w:fill="FFFFFF"/>
        </w:rPr>
        <w:t>Raleigh</w:t>
      </w:r>
      <w:r>
        <w:rPr>
          <w:color w:val="1D1D1D"/>
          <w:shd w:val="clear" w:color="auto" w:fill="FFFFFF"/>
        </w:rPr>
        <w:t xml:space="preserve"> v. Performance Plumbing and Heating (2006)</w:t>
      </w:r>
      <w:r>
        <w:rPr>
          <w:color w:val="1B1B1B"/>
          <w:shd w:val="clear" w:color="auto" w:fill="FFFFFF"/>
        </w:rPr>
        <w:t xml:space="preserve"> case, Superior </w:t>
      </w:r>
      <w:r w:rsidR="00074204">
        <w:rPr>
          <w:color w:val="1B1B1B"/>
          <w:shd w:val="clear" w:color="auto" w:fill="FFFFFF"/>
        </w:rPr>
        <w:t>can</w:t>
      </w:r>
      <w:r>
        <w:rPr>
          <w:color w:val="1B1B1B"/>
          <w:shd w:val="clear" w:color="auto" w:fill="FFFFFF"/>
        </w:rPr>
        <w:t xml:space="preserve"> be held </w:t>
      </w:r>
      <w:r w:rsidR="00074204">
        <w:rPr>
          <w:color w:val="1B1B1B"/>
          <w:shd w:val="clear" w:color="auto" w:fill="FFFFFF"/>
        </w:rPr>
        <w:t>accountable</w:t>
      </w:r>
      <w:r>
        <w:rPr>
          <w:color w:val="1B1B1B"/>
          <w:shd w:val="clear" w:color="auto" w:fill="FFFFFF"/>
        </w:rPr>
        <w:t xml:space="preserve"> for the accident Jones caused </w:t>
      </w:r>
      <w:r w:rsidR="00074204">
        <w:rPr>
          <w:color w:val="1B1B1B"/>
          <w:shd w:val="clear" w:color="auto" w:fill="FFFFFF"/>
        </w:rPr>
        <w:t>while driving in a vehicle that belonged to the company</w:t>
      </w:r>
      <w:r>
        <w:rPr>
          <w:color w:val="1B1B1B"/>
          <w:shd w:val="clear" w:color="auto" w:fill="FFFFFF"/>
        </w:rPr>
        <w:t xml:space="preserve"> and behaved carelessly. </w:t>
      </w:r>
      <w:r w:rsidR="00074204">
        <w:rPr>
          <w:color w:val="1B1B1B"/>
          <w:shd w:val="clear" w:color="auto" w:fill="FFFFFF"/>
        </w:rPr>
        <w:t xml:space="preserve">Driving as an act </w:t>
      </w:r>
      <w:r>
        <w:rPr>
          <w:color w:val="1B1B1B"/>
          <w:shd w:val="clear" w:color="auto" w:fill="FFFFFF"/>
        </w:rPr>
        <w:t xml:space="preserve">is also a characteristic of the new job that Jones had as an electrician making the Superior Company liable for Jones's actions. Jones is also working as an occupational driver and electrician. Jones's driving actions are not done under the strict supervision of the company as Jones was trusted as a qualified driver with no driving errors. Driving skills were also a requirement for the position of an apprentice electrician in which Jones was being hired by the company. </w:t>
      </w:r>
    </w:p>
    <w:p w:rsidR="00410CEC" w:rsidRDefault="008A4BFC" w:rsidP="00074204">
      <w:pPr>
        <w:ind w:firstLine="720"/>
        <w:rPr>
          <w:color w:val="1B1B1B"/>
          <w:shd w:val="clear" w:color="auto" w:fill="FFFFFF"/>
        </w:rPr>
      </w:pPr>
      <w:r>
        <w:rPr>
          <w:color w:val="1B1B1B"/>
          <w:shd w:val="clear" w:color="auto" w:fill="FFFFFF"/>
        </w:rPr>
        <w:t xml:space="preserve">The superior company was also engaging in electronics production as a business. The vehicle </w:t>
      </w:r>
      <w:r w:rsidR="00074204">
        <w:rPr>
          <w:color w:val="1B1B1B"/>
          <w:shd w:val="clear" w:color="auto" w:fill="FFFFFF"/>
        </w:rPr>
        <w:t xml:space="preserve">that Jones was using when he was involved in the accident </w:t>
      </w:r>
      <w:r>
        <w:rPr>
          <w:color w:val="1B1B1B"/>
          <w:shd w:val="clear" w:color="auto" w:fill="FFFFFF"/>
        </w:rPr>
        <w:t xml:space="preserve">was also a key requirement for him to perform his job and the vehicle was provided for by the company. Both Jones and the superior company were aware they were building a working relationship. </w:t>
      </w:r>
      <w:r w:rsidR="00B62AA2">
        <w:rPr>
          <w:color w:val="1B1B1B"/>
          <w:shd w:val="clear" w:color="auto" w:fill="FFFFFF"/>
        </w:rPr>
        <w:t xml:space="preserve">This is proved by the fact that Jones's new position was that of an electrician eligible to be entitled a vehicle by the company to use it at work and later go home with it. This is opposed to the initial position of an apprentice electrician in which Jones was hired. </w:t>
      </w:r>
      <w:r w:rsidR="00074204">
        <w:rPr>
          <w:color w:val="1B1B1B"/>
          <w:shd w:val="clear" w:color="auto" w:fill="FFFFFF"/>
        </w:rPr>
        <w:t>With regard to</w:t>
      </w:r>
      <w:r>
        <w:rPr>
          <w:color w:val="1B1B1B"/>
          <w:shd w:val="clear" w:color="auto" w:fill="FFFFFF"/>
        </w:rPr>
        <w:t xml:space="preserve"> the outlined legal </w:t>
      </w:r>
      <w:r w:rsidR="00074204">
        <w:rPr>
          <w:color w:val="1B1B1B"/>
          <w:shd w:val="clear" w:color="auto" w:fill="FFFFFF"/>
        </w:rPr>
        <w:t>features</w:t>
      </w:r>
      <w:r>
        <w:rPr>
          <w:color w:val="1B1B1B"/>
          <w:shd w:val="clear" w:color="auto" w:fill="FFFFFF"/>
        </w:rPr>
        <w:t xml:space="preserve"> of a respondeat superior, then the Superior company was liable for the injuries of Carson’s caused by its employee’s Jones’ careless driving (</w:t>
      </w:r>
      <w:r>
        <w:rPr>
          <w:color w:val="1D1D1D"/>
          <w:shd w:val="clear" w:color="auto" w:fill="FFFFFF"/>
        </w:rPr>
        <w:t>Suleh-Yusuf, 2018).</w:t>
      </w:r>
      <w:r>
        <w:rPr>
          <w:color w:val="1B1B1B"/>
          <w:shd w:val="clear" w:color="auto" w:fill="FFFFFF"/>
        </w:rPr>
        <w:t xml:space="preserve"> </w:t>
      </w:r>
    </w:p>
    <w:p w:rsidR="00410CEC" w:rsidRDefault="00410CEC">
      <w:pPr>
        <w:ind w:firstLine="284"/>
        <w:rPr>
          <w:color w:val="1D1D1D"/>
          <w:shd w:val="clear" w:color="auto" w:fill="FFFFFF"/>
        </w:rPr>
      </w:pPr>
    </w:p>
    <w:p w:rsidR="00410CEC" w:rsidRDefault="00410CEC">
      <w:pPr>
        <w:ind w:firstLine="284"/>
        <w:rPr>
          <w:color w:val="1D1D1D"/>
          <w:shd w:val="clear" w:color="auto" w:fill="FFFFFF"/>
        </w:rPr>
      </w:pPr>
    </w:p>
    <w:p w:rsidR="00410CEC" w:rsidRPr="00F648E7" w:rsidRDefault="008A4BFC" w:rsidP="00567AA5">
      <w:pPr>
        <w:jc w:val="center"/>
        <w:rPr>
          <w:b/>
          <w:color w:val="1D1D1D"/>
          <w:shd w:val="clear" w:color="auto" w:fill="FFFFFF"/>
        </w:rPr>
      </w:pPr>
      <w:bookmarkStart w:id="0" w:name="_GoBack"/>
      <w:r w:rsidRPr="00F648E7">
        <w:rPr>
          <w:b/>
          <w:color w:val="1D1D1D"/>
          <w:shd w:val="clear" w:color="auto" w:fill="FFFFFF"/>
        </w:rPr>
        <w:lastRenderedPageBreak/>
        <w:t>References</w:t>
      </w:r>
    </w:p>
    <w:bookmarkEnd w:id="0"/>
    <w:p w:rsidR="00410CEC" w:rsidRDefault="008A4BFC" w:rsidP="00F648E7">
      <w:pPr>
        <w:ind w:left="720" w:hanging="720"/>
        <w:rPr>
          <w:color w:val="1D1D1D"/>
          <w:shd w:val="clear" w:color="auto" w:fill="FFFFFF"/>
        </w:rPr>
      </w:pPr>
      <w:r>
        <w:rPr>
          <w:color w:val="1D1D1D"/>
          <w:shd w:val="clear" w:color="auto" w:fill="FFFFFF"/>
        </w:rPr>
        <w:t xml:space="preserve">Cavico, F.J., Mujtaba, B.G., Samuel, M., &amp; Muffler, S. (2016). The Tort of Negligence in Employment Hiring, Supervision, and Retention. </w:t>
      </w:r>
      <w:r>
        <w:rPr>
          <w:i/>
          <w:color w:val="1D1D1D"/>
          <w:shd w:val="clear" w:color="auto" w:fill="FFFFFF"/>
        </w:rPr>
        <w:t>American Journal of Business and Society, 1</w:t>
      </w:r>
      <w:r>
        <w:rPr>
          <w:color w:val="1D1D1D"/>
          <w:shd w:val="clear" w:color="auto" w:fill="FFFFFF"/>
        </w:rPr>
        <w:t>(4), 205</w:t>
      </w:r>
    </w:p>
    <w:p w:rsidR="00410CEC" w:rsidRDefault="008A4BFC" w:rsidP="00F648E7">
      <w:pPr>
        <w:ind w:left="720" w:hanging="720"/>
        <w:rPr>
          <w:color w:val="1D1D1D"/>
          <w:shd w:val="clear" w:color="auto" w:fill="FFFFFF"/>
        </w:rPr>
      </w:pPr>
      <w:r>
        <w:rPr>
          <w:color w:val="1D1D1D"/>
          <w:shd w:val="clear" w:color="auto" w:fill="FFFFFF"/>
        </w:rPr>
        <w:t xml:space="preserve"> Langvardt, A. W., Barnes, A. J., Prenkert, J. D., McCrory, M. A., &amp; Perry, J. E. (2019). Business law: The ethical, global, and e-commerce environment (17th Ed.) </w:t>
      </w:r>
    </w:p>
    <w:p w:rsidR="00410CEC" w:rsidRDefault="008A4BFC" w:rsidP="00F648E7">
      <w:pPr>
        <w:ind w:left="720" w:hanging="720"/>
        <w:rPr>
          <w:color w:val="1D1D1D"/>
          <w:shd w:val="clear" w:color="auto" w:fill="FFFFFF"/>
        </w:rPr>
      </w:pPr>
      <w:r>
        <w:rPr>
          <w:color w:val="1D1D1D"/>
          <w:shd w:val="clear" w:color="auto" w:fill="FFFFFF"/>
        </w:rPr>
        <w:t>Lederman, E. (2016). Corporate criminal liability: The second generation. Stetson L.Rev. 46,71</w:t>
      </w:r>
    </w:p>
    <w:p w:rsidR="00410CEC" w:rsidRDefault="008A4BFC" w:rsidP="00F648E7">
      <w:pPr>
        <w:ind w:left="720"/>
        <w:rPr>
          <w:color w:val="1D1D1D"/>
          <w:shd w:val="clear" w:color="auto" w:fill="FFFFFF"/>
        </w:rPr>
      </w:pPr>
      <w:r>
        <w:rPr>
          <w:i/>
          <w:color w:val="1D1D1D"/>
          <w:shd w:val="clear" w:color="auto" w:fill="FFFFFF"/>
        </w:rPr>
        <w:t>Malorney v. B&amp;L Motor Freight, Inc.,</w:t>
      </w:r>
      <w:r>
        <w:rPr>
          <w:color w:val="1D1D1D"/>
          <w:shd w:val="clear" w:color="auto" w:fill="FFFFFF"/>
        </w:rPr>
        <w:t xml:space="preserve"> (1986) 496 N.C. 2d 1086. Ct. App. (Ill)</w:t>
      </w:r>
    </w:p>
    <w:p w:rsidR="00410CEC" w:rsidRDefault="008A4BFC" w:rsidP="00F648E7">
      <w:pPr>
        <w:ind w:left="720"/>
        <w:rPr>
          <w:color w:val="1D1D1D"/>
          <w:shd w:val="clear" w:color="auto" w:fill="FFFFFF"/>
        </w:rPr>
      </w:pPr>
      <w:r>
        <w:rPr>
          <w:i/>
          <w:color w:val="1D1D1D"/>
          <w:shd w:val="clear" w:color="auto" w:fill="FFFFFF"/>
        </w:rPr>
        <w:t>Raleigh v. Performance Plumbing and Heating</w:t>
      </w:r>
      <w:r>
        <w:rPr>
          <w:color w:val="1D1D1D"/>
          <w:shd w:val="clear" w:color="auto" w:fill="FFFFFF"/>
        </w:rPr>
        <w:t xml:space="preserve"> (2006)130 P.3d 1011 (Colo) </w:t>
      </w:r>
    </w:p>
    <w:p w:rsidR="00410CEC" w:rsidRDefault="008A4BFC" w:rsidP="00F648E7">
      <w:pPr>
        <w:ind w:left="720" w:hanging="720"/>
        <w:rPr>
          <w:color w:val="1D1D1D"/>
          <w:shd w:val="clear" w:color="auto" w:fill="FFFFFF"/>
        </w:rPr>
      </w:pPr>
      <w:r>
        <w:rPr>
          <w:color w:val="1D1D1D"/>
          <w:shd w:val="clear" w:color="auto" w:fill="FFFFFF"/>
        </w:rPr>
        <w:t>Suleh-Yusuf, M. (2018). The concepts of corporate criminal liability and willful blindness: Theoretical and applicability challenges. International Journal of Academic Research and Development, 3(1)</w:t>
      </w:r>
    </w:p>
    <w:p w:rsidR="00F648E7" w:rsidRDefault="00F648E7">
      <w:pPr>
        <w:ind w:left="720" w:hanging="720"/>
        <w:rPr>
          <w:color w:val="1D1D1D"/>
          <w:shd w:val="clear" w:color="auto" w:fill="FFFFFF"/>
        </w:rPr>
      </w:pPr>
    </w:p>
    <w:sectPr w:rsidR="00F648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E6C" w:rsidRDefault="00922E6C">
      <w:pPr>
        <w:spacing w:line="240" w:lineRule="auto"/>
      </w:pPr>
      <w:r>
        <w:separator/>
      </w:r>
    </w:p>
  </w:endnote>
  <w:endnote w:type="continuationSeparator" w:id="0">
    <w:p w:rsidR="00922E6C" w:rsidRDefault="00922E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E6C" w:rsidRDefault="00922E6C">
      <w:pPr>
        <w:spacing w:line="240" w:lineRule="auto"/>
      </w:pPr>
      <w:r>
        <w:separator/>
      </w:r>
    </w:p>
  </w:footnote>
  <w:footnote w:type="continuationSeparator" w:id="0">
    <w:p w:rsidR="00922E6C" w:rsidRDefault="00922E6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EC" w:rsidRDefault="008A4BFC">
    <w:pPr>
      <w:pStyle w:val="Header"/>
      <w:jc w:val="right"/>
    </w:pPr>
    <w:r>
      <w:fldChar w:fldCharType="begin"/>
    </w:r>
    <w:r>
      <w:instrText xml:space="preserve"> PAGE   \* MERGEFORMAT </w:instrText>
    </w:r>
    <w:r>
      <w:fldChar w:fldCharType="separate"/>
    </w:r>
    <w:r w:rsidR="00567AA5">
      <w:rPr>
        <w:noProof/>
      </w:rPr>
      <w:t>1</w:t>
    </w:r>
    <w:r>
      <w:rPr>
        <w:noProof/>
      </w:rPr>
      <w:fldChar w:fldCharType="end"/>
    </w:r>
  </w:p>
  <w:p w:rsidR="00410CEC" w:rsidRDefault="00410C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CEC"/>
    <w:rsid w:val="00074204"/>
    <w:rsid w:val="00123F3D"/>
    <w:rsid w:val="00246228"/>
    <w:rsid w:val="002B4588"/>
    <w:rsid w:val="002F5A16"/>
    <w:rsid w:val="003825E0"/>
    <w:rsid w:val="00410CEC"/>
    <w:rsid w:val="00567AA5"/>
    <w:rsid w:val="0070446D"/>
    <w:rsid w:val="008425C5"/>
    <w:rsid w:val="008A4BFC"/>
    <w:rsid w:val="008C2342"/>
    <w:rsid w:val="00922E6C"/>
    <w:rsid w:val="00A04C79"/>
    <w:rsid w:val="00A315FD"/>
    <w:rsid w:val="00A376E8"/>
    <w:rsid w:val="00A96773"/>
    <w:rsid w:val="00AE00A8"/>
    <w:rsid w:val="00B62AA2"/>
    <w:rsid w:val="00BC7BF6"/>
    <w:rsid w:val="00BD2282"/>
    <w:rsid w:val="00D13035"/>
    <w:rsid w:val="00F11D71"/>
    <w:rsid w:val="00F64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i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6</Pages>
  <Words>1292</Words>
  <Characters>7369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nanter</cp:lastModifiedBy>
  <cp:revision>14</cp:revision>
  <dcterms:created xsi:type="dcterms:W3CDTF">2020-08-17T12:57:00Z</dcterms:created>
  <dcterms:modified xsi:type="dcterms:W3CDTF">2020-08-18T06:37:00Z</dcterms:modified>
</cp:coreProperties>
</file>